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2DF" w:rsidRPr="004662DF" w:rsidRDefault="004662DF" w:rsidP="004662DF">
      <w:pPr>
        <w:pStyle w:val="a4"/>
        <w:jc w:val="center"/>
        <w:rPr>
          <w:b/>
        </w:rPr>
      </w:pPr>
      <w:r w:rsidRPr="004662DF">
        <w:rPr>
          <w:b/>
          <w:bdr w:val="single" w:sz="2" w:space="0" w:color="E5E7EB" w:frame="1"/>
        </w:rPr>
        <w:t>ПЕРЕЧЕНЬ ИСХОДНЫХ ТРЕБОВАНИЙ</w:t>
      </w:r>
    </w:p>
    <w:p w:rsidR="004662DF" w:rsidRPr="004662DF" w:rsidRDefault="004662DF" w:rsidP="004662DF">
      <w:pPr>
        <w:pStyle w:val="a4"/>
        <w:jc w:val="center"/>
        <w:rPr>
          <w:b/>
        </w:rPr>
      </w:pPr>
      <w:r w:rsidRPr="004662DF">
        <w:rPr>
          <w:b/>
          <w:bdr w:val="single" w:sz="2" w:space="0" w:color="E5E7EB" w:frame="1"/>
        </w:rPr>
        <w:t>ДЛЯ РАЗРАБОТКИ ТЕХНИЧЕСКОГО ЗАДАНИЯ НА МЕЗОНИНЫ</w:t>
      </w:r>
    </w:p>
    <w:p w:rsidR="004662DF" w:rsidRPr="004662DF" w:rsidRDefault="004662DF" w:rsidP="004662DF">
      <w:pPr>
        <w:pStyle w:val="a4"/>
        <w:ind w:left="-709"/>
        <w:rPr>
          <w:b/>
        </w:rPr>
      </w:pPr>
      <w:r w:rsidRPr="004662DF">
        <w:rPr>
          <w:b/>
          <w:bdr w:val="single" w:sz="2" w:space="0" w:color="E5E7EB" w:frame="1"/>
        </w:rPr>
        <w:t>Б.1 Общая информация</w:t>
      </w:r>
    </w:p>
    <w:p w:rsidR="004662DF" w:rsidRDefault="004662DF" w:rsidP="004662DF">
      <w:pPr>
        <w:pStyle w:val="a4"/>
      </w:pPr>
      <w:r>
        <w:t>Б.1.1 Уполномоченное контактное лицо заказчика: ФИО, электронная почта, телефон.</w:t>
      </w:r>
    </w:p>
    <w:p w:rsidR="004662DF" w:rsidRDefault="004662DF" w:rsidP="004662DF">
      <w:pPr>
        <w:pStyle w:val="a4"/>
      </w:pPr>
      <w:r>
        <w:t>Б.1.2 Назначение мезонина и особенности его эксплуатации.</w:t>
      </w:r>
    </w:p>
    <w:p w:rsidR="004662DF" w:rsidRDefault="004662DF" w:rsidP="004662DF">
      <w:pPr>
        <w:pStyle w:val="a4"/>
      </w:pPr>
      <w:r>
        <w:t>Б.1.3 Особенности обрабатываемых грузов (</w:t>
      </w:r>
      <w:proofErr w:type="spellStart"/>
      <w:r>
        <w:t>пожаро</w:t>
      </w:r>
      <w:proofErr w:type="spellEnd"/>
      <w:r>
        <w:t>-, взрывоопасные грузы и пр.).</w:t>
      </w:r>
    </w:p>
    <w:p w:rsidR="004662DF" w:rsidRDefault="004662DF" w:rsidP="004662DF">
      <w:pPr>
        <w:pStyle w:val="a4"/>
      </w:pPr>
      <w:r>
        <w:t>Б.1.4 Адрес расположения склада, в котором будет установлен мезонин.</w:t>
      </w:r>
    </w:p>
    <w:p w:rsidR="004662DF" w:rsidRDefault="004662DF" w:rsidP="004662DF">
      <w:pPr>
        <w:pStyle w:val="a4"/>
      </w:pPr>
      <w:r>
        <w:t>Б.1.5 Планируемый срок ввода мезонина в эксплуатацию.</w:t>
      </w:r>
    </w:p>
    <w:p w:rsidR="004662DF" w:rsidRPr="004662DF" w:rsidRDefault="004662DF" w:rsidP="004662DF">
      <w:pPr>
        <w:pStyle w:val="a4"/>
        <w:ind w:left="-709"/>
        <w:rPr>
          <w:b/>
        </w:rPr>
      </w:pPr>
      <w:r w:rsidRPr="004662DF">
        <w:rPr>
          <w:b/>
          <w:bdr w:val="single" w:sz="2" w:space="0" w:color="E5E7EB" w:frame="1"/>
        </w:rPr>
        <w:t>Б.2 Характеристики складского помещения</w:t>
      </w:r>
    </w:p>
    <w:p w:rsidR="004662DF" w:rsidRDefault="004662DF" w:rsidP="004662DF">
      <w:pPr>
        <w:pStyle w:val="a4"/>
      </w:pPr>
      <w:r>
        <w:t>Б.2.1 Общая площадь склада, м</w:t>
      </w:r>
      <w:r>
        <w:rPr>
          <w:sz w:val="23"/>
          <w:szCs w:val="23"/>
          <w:bdr w:val="single" w:sz="2" w:space="0" w:color="E5E7EB" w:frame="1"/>
          <w:vertAlign w:val="superscript"/>
        </w:rPr>
        <w:t>2</w:t>
      </w:r>
      <w:r>
        <w:t>.</w:t>
      </w:r>
    </w:p>
    <w:p w:rsidR="004662DF" w:rsidRDefault="004662DF" w:rsidP="004662DF">
      <w:pPr>
        <w:pStyle w:val="a4"/>
      </w:pPr>
      <w:r>
        <w:t>Б.2.2 Сетка колонн здания, м x м.</w:t>
      </w:r>
      <w:bookmarkStart w:id="0" w:name="_GoBack"/>
      <w:bookmarkEnd w:id="0"/>
    </w:p>
    <w:p w:rsidR="004662DF" w:rsidRPr="004662DF" w:rsidRDefault="004662DF" w:rsidP="004662DF">
      <w:pPr>
        <w:pStyle w:val="a4"/>
        <w:rPr>
          <w:color w:val="808080" w:themeColor="background1" w:themeShade="80"/>
        </w:rPr>
      </w:pPr>
      <w:r w:rsidRPr="004662DF">
        <w:rPr>
          <w:color w:val="808080" w:themeColor="background1" w:themeShade="80"/>
        </w:rPr>
        <w:t>Б.2.3 Уровень отметки +0,000 мм.</w:t>
      </w:r>
    </w:p>
    <w:p w:rsidR="004662DF" w:rsidRPr="004662DF" w:rsidRDefault="004662DF" w:rsidP="004662DF">
      <w:pPr>
        <w:pStyle w:val="a4"/>
        <w:rPr>
          <w:color w:val="808080" w:themeColor="background1" w:themeShade="80"/>
        </w:rPr>
      </w:pPr>
      <w:r w:rsidRPr="004662DF">
        <w:rPr>
          <w:color w:val="808080" w:themeColor="background1" w:themeShade="80"/>
        </w:rPr>
        <w:t>Б.2.4 Толщина бетонного пола, мм.</w:t>
      </w:r>
    </w:p>
    <w:p w:rsidR="004662DF" w:rsidRPr="004662DF" w:rsidRDefault="004662DF" w:rsidP="004662DF">
      <w:pPr>
        <w:pStyle w:val="a4"/>
        <w:rPr>
          <w:color w:val="808080" w:themeColor="background1" w:themeShade="80"/>
        </w:rPr>
      </w:pPr>
      <w:r w:rsidRPr="004662DF">
        <w:rPr>
          <w:color w:val="808080" w:themeColor="background1" w:themeShade="80"/>
        </w:rPr>
        <w:t>Б.2.5 Качество бетона по </w:t>
      </w:r>
      <w:hyperlink r:id="rId4" w:tooltip="&quot;ГОСТ 26633-2015. Межгосударственный стандарт. Бетоны тяжелые и мелкозернистые. Технические условия&quot; (введен в действие Приказом Росстандарта от 17.03.2016 N 165-ст)&#10;" w:history="1">
        <w:r w:rsidRPr="004662DF">
          <w:rPr>
            <w:rStyle w:val="a3"/>
            <w:rFonts w:ascii="Segoe UI" w:hAnsi="Segoe UI" w:cs="Segoe UI"/>
            <w:color w:val="808080" w:themeColor="background1" w:themeShade="80"/>
            <w:sz w:val="20"/>
            <w:szCs w:val="20"/>
            <w:bdr w:val="single" w:sz="2" w:space="0" w:color="E5E7EB" w:frame="1"/>
          </w:rPr>
          <w:t>ГОСТ 26633</w:t>
        </w:r>
      </w:hyperlink>
      <w:r w:rsidRPr="004662DF">
        <w:rPr>
          <w:color w:val="808080" w:themeColor="background1" w:themeShade="80"/>
          <w:sz w:val="20"/>
          <w:szCs w:val="20"/>
        </w:rPr>
        <w:t>.</w:t>
      </w:r>
    </w:p>
    <w:p w:rsidR="004662DF" w:rsidRPr="004662DF" w:rsidRDefault="004662DF" w:rsidP="004662DF">
      <w:pPr>
        <w:pStyle w:val="a4"/>
        <w:rPr>
          <w:color w:val="808080" w:themeColor="background1" w:themeShade="80"/>
        </w:rPr>
      </w:pPr>
      <w:r w:rsidRPr="004662DF">
        <w:rPr>
          <w:color w:val="808080" w:themeColor="background1" w:themeShade="80"/>
        </w:rPr>
        <w:t>Б.2.6 Допустимая равномерно-распределенная нагрузка на бетонный пол, кН/м</w:t>
      </w:r>
      <w:r w:rsidRPr="004662DF">
        <w:rPr>
          <w:color w:val="808080" w:themeColor="background1" w:themeShade="80"/>
          <w:sz w:val="23"/>
          <w:szCs w:val="23"/>
          <w:bdr w:val="single" w:sz="2" w:space="0" w:color="E5E7EB" w:frame="1"/>
          <w:vertAlign w:val="superscript"/>
        </w:rPr>
        <w:t>2</w:t>
      </w:r>
      <w:r w:rsidRPr="004662DF">
        <w:rPr>
          <w:color w:val="808080" w:themeColor="background1" w:themeShade="80"/>
        </w:rPr>
        <w:t>.</w:t>
      </w:r>
    </w:p>
    <w:p w:rsidR="004662DF" w:rsidRPr="004662DF" w:rsidRDefault="004662DF" w:rsidP="004662DF">
      <w:pPr>
        <w:pStyle w:val="a4"/>
        <w:rPr>
          <w:color w:val="808080" w:themeColor="background1" w:themeShade="80"/>
        </w:rPr>
      </w:pPr>
      <w:r w:rsidRPr="004662DF">
        <w:rPr>
          <w:color w:val="808080" w:themeColor="background1" w:themeShade="80"/>
        </w:rPr>
        <w:t>Б.2.7 Прочность материала бетонного пола, МПа.</w:t>
      </w:r>
    </w:p>
    <w:p w:rsidR="004662DF" w:rsidRPr="004662DF" w:rsidRDefault="004662DF" w:rsidP="004662DF">
      <w:pPr>
        <w:pStyle w:val="a4"/>
        <w:rPr>
          <w:color w:val="808080" w:themeColor="background1" w:themeShade="80"/>
        </w:rPr>
      </w:pPr>
      <w:r w:rsidRPr="004662DF">
        <w:rPr>
          <w:color w:val="808080" w:themeColor="background1" w:themeShade="80"/>
        </w:rPr>
        <w:t>Б.2.8 Тип армирования, глубина залегания арматуры и ее диаметр (при наличии).</w:t>
      </w:r>
    </w:p>
    <w:p w:rsidR="004662DF" w:rsidRPr="004662DF" w:rsidRDefault="004662DF" w:rsidP="004662DF">
      <w:pPr>
        <w:pStyle w:val="a4"/>
        <w:rPr>
          <w:color w:val="808080" w:themeColor="background1" w:themeShade="80"/>
        </w:rPr>
      </w:pPr>
      <w:r w:rsidRPr="004662DF">
        <w:rPr>
          <w:color w:val="808080" w:themeColor="background1" w:themeShade="80"/>
        </w:rPr>
        <w:t>Б.2.9 Поверхностная обработка пола (при наличии).</w:t>
      </w:r>
    </w:p>
    <w:p w:rsidR="004662DF" w:rsidRPr="004662DF" w:rsidRDefault="004662DF" w:rsidP="004662DF">
      <w:pPr>
        <w:pStyle w:val="a4"/>
        <w:ind w:left="-709"/>
        <w:rPr>
          <w:b/>
        </w:rPr>
      </w:pPr>
      <w:r w:rsidRPr="004662DF">
        <w:rPr>
          <w:b/>
          <w:bdr w:val="single" w:sz="2" w:space="0" w:color="E5E7EB" w:frame="1"/>
        </w:rPr>
        <w:t>Б.3 Описание конструкции мезонина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 Количество уровней мезонина.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Б.3.2 Высотные отметки каждого уровня, мм.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Б.3.3 Вид и характеристики настила.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Б.3.4 Вид и характеристики покрытия настила.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Б.3.5 Требования к защитным покрытиям металлических элементов.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Б.3.6 Наличие стеллажей на уровнях мезонина, их характеристики и нагрузки от подпятников стеллажей.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Б.3.7 Взаимное расположение вблизи элементов здания и сооружений.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Б.3.8 Наличие специализированных технологических зон и нагрузка на них.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Б.3.9 Количество лестниц и места их расположения.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Б.3.10 Наличие грузовых подъемников и места их расположения.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Б.3.11 Наличие конвейеров и места их расположения.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Б.3.12 Наличие стационарных рабочих зон операторов, сортировщиков и пр. и места их расположения.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Б.3.13 Наличие точек загрузки при помощи штабелирующей техники и места их расположения.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Б.3.14 Наличие другого стационарного оборудования и места его расположения.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Б.3.15 Масса хранящихся грузов и товаров.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Б.3.16 Статическая равномерно распределенная нагрузка на 1 м</w:t>
      </w:r>
      <w:r w:rsidRPr="004662DF">
        <w:rPr>
          <w:color w:val="0D0D0D" w:themeColor="text1" w:themeTint="F2"/>
          <w:sz w:val="23"/>
          <w:szCs w:val="23"/>
          <w:bdr w:val="single" w:sz="2" w:space="0" w:color="E5E7EB" w:frame="1"/>
          <w:vertAlign w:val="superscript"/>
        </w:rPr>
        <w:t>2</w:t>
      </w:r>
      <w:r w:rsidRPr="004662DF">
        <w:rPr>
          <w:color w:val="0D0D0D" w:themeColor="text1" w:themeTint="F2"/>
        </w:rPr>
        <w:t> настила (эксплуатационная нагрузка на настил).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Б.3.17 Наличие ручных гидравлических тележек, их масса с грузом и количество на каждом уровне.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Б.3.18 Наличие тележек и боксов для комплектации, их масса с грузом и количество на каждом уровне.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Б.3.19 Наличие другого оборудования на каждом уровне, его масса и другие характеристики.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Б.3.20 Количество сотрудников на каждом уровне.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>Б.3.21 Система пожаротушения, ее характеристики и распределенная нагрузка от нее.</w:t>
      </w:r>
    </w:p>
    <w:p w:rsidR="004662DF" w:rsidRPr="004662DF" w:rsidRDefault="004662DF" w:rsidP="004662DF">
      <w:pPr>
        <w:pStyle w:val="a4"/>
        <w:rPr>
          <w:color w:val="0D0D0D" w:themeColor="text1" w:themeTint="F2"/>
        </w:rPr>
      </w:pPr>
      <w:r w:rsidRPr="004662DF">
        <w:rPr>
          <w:color w:val="0D0D0D" w:themeColor="text1" w:themeTint="F2"/>
        </w:rPr>
        <w:t xml:space="preserve">Б.3.22 Нагрузка от светильников, дымовых </w:t>
      </w:r>
      <w:proofErr w:type="spellStart"/>
      <w:r w:rsidRPr="004662DF">
        <w:rPr>
          <w:color w:val="0D0D0D" w:themeColor="text1" w:themeTint="F2"/>
        </w:rPr>
        <w:t>извещателей</w:t>
      </w:r>
      <w:proofErr w:type="spellEnd"/>
      <w:r w:rsidRPr="004662DF">
        <w:rPr>
          <w:color w:val="0D0D0D" w:themeColor="text1" w:themeTint="F2"/>
        </w:rPr>
        <w:t>, их кабельных трасс и пр.</w:t>
      </w:r>
    </w:p>
    <w:p w:rsidR="004662DF" w:rsidRPr="004662DF" w:rsidRDefault="004662DF" w:rsidP="004662DF">
      <w:pPr>
        <w:pStyle w:val="a4"/>
        <w:ind w:left="-709"/>
        <w:rPr>
          <w:b/>
        </w:rPr>
      </w:pPr>
      <w:r w:rsidRPr="004662DF">
        <w:rPr>
          <w:b/>
          <w:bdr w:val="single" w:sz="2" w:space="0" w:color="E5E7EB" w:frame="1"/>
        </w:rPr>
        <w:t>Б.4 Приложения (при наличии)</w:t>
      </w:r>
    </w:p>
    <w:p w:rsidR="004662DF" w:rsidRDefault="004662DF" w:rsidP="004662DF">
      <w:pPr>
        <w:pStyle w:val="a4"/>
      </w:pPr>
      <w:r>
        <w:t>Б.4.1 Чертеж здания с указанием инженерных систем.</w:t>
      </w:r>
    </w:p>
    <w:p w:rsidR="004662DF" w:rsidRDefault="004662DF" w:rsidP="004662DF">
      <w:pPr>
        <w:pStyle w:val="a4"/>
      </w:pPr>
      <w:r>
        <w:t>Б.4.2 Предполагаемая схема мезонина.</w:t>
      </w:r>
    </w:p>
    <w:p w:rsidR="004662DF" w:rsidRPr="004662DF" w:rsidRDefault="004662DF" w:rsidP="004662DF">
      <w:pPr>
        <w:pStyle w:val="a4"/>
        <w:rPr>
          <w:color w:val="808080" w:themeColor="background1" w:themeShade="80"/>
        </w:rPr>
      </w:pPr>
      <w:r w:rsidRPr="004662DF">
        <w:rPr>
          <w:color w:val="808080" w:themeColor="background1" w:themeShade="80"/>
        </w:rPr>
        <w:t>Б.4.3 Документация на инженерные системы и другое оборудование.</w:t>
      </w:r>
    </w:p>
    <w:p w:rsidR="004662DF" w:rsidRPr="004662DF" w:rsidRDefault="004662DF" w:rsidP="004662DF">
      <w:pPr>
        <w:pStyle w:val="a4"/>
        <w:rPr>
          <w:color w:val="808080" w:themeColor="background1" w:themeShade="80"/>
        </w:rPr>
      </w:pPr>
      <w:r w:rsidRPr="004662DF">
        <w:rPr>
          <w:color w:val="808080" w:themeColor="background1" w:themeShade="80"/>
        </w:rPr>
        <w:t>Б.4.4 Документация на дополнительное оборудование.</w:t>
      </w:r>
    </w:p>
    <w:p w:rsidR="004662DF" w:rsidRPr="004662DF" w:rsidRDefault="004662DF" w:rsidP="004662DF">
      <w:pPr>
        <w:pStyle w:val="a4"/>
        <w:rPr>
          <w:color w:val="808080" w:themeColor="background1" w:themeShade="80"/>
        </w:rPr>
      </w:pPr>
      <w:r w:rsidRPr="004662DF">
        <w:rPr>
          <w:color w:val="808080" w:themeColor="background1" w:themeShade="80"/>
        </w:rPr>
        <w:t>Б.4.5 Особенности полов.</w:t>
      </w:r>
    </w:p>
    <w:p w:rsidR="002923EC" w:rsidRDefault="002923EC"/>
    <w:sectPr w:rsidR="00292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381"/>
    <w:rsid w:val="002923EC"/>
    <w:rsid w:val="00335381"/>
    <w:rsid w:val="0046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0C7222-B4D1-44DC-8C97-D2519AB75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-semibold">
    <w:name w:val="font-semibold"/>
    <w:basedOn w:val="a"/>
    <w:rsid w:val="0046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justify">
    <w:name w:val="text-justify"/>
    <w:basedOn w:val="a"/>
    <w:rsid w:val="0046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662DF"/>
    <w:rPr>
      <w:color w:val="0000FF"/>
      <w:u w:val="single"/>
    </w:rPr>
  </w:style>
  <w:style w:type="paragraph" w:styleId="a4">
    <w:name w:val="No Spacing"/>
    <w:uiPriority w:val="1"/>
    <w:qFormat/>
    <w:rsid w:val="004662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-ecolog.ru/docs/QK_sDbSVKaLv1DncNZxU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Женька</dc:creator>
  <cp:keywords/>
  <dc:description/>
  <cp:lastModifiedBy>Женька</cp:lastModifiedBy>
  <cp:revision>3</cp:revision>
  <dcterms:created xsi:type="dcterms:W3CDTF">2023-11-08T12:36:00Z</dcterms:created>
  <dcterms:modified xsi:type="dcterms:W3CDTF">2023-11-08T12:39:00Z</dcterms:modified>
</cp:coreProperties>
</file>